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34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  <w:lang w:val="en-US" w:eastAsia="zh-CN"/>
        </w:rPr>
        <w:t>云南农业职业技术学院AI基础算力平台建设项目</w:t>
      </w:r>
    </w:p>
    <w:p w14:paraId="657E29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fill="FFFFFF"/>
          <w:lang w:val="en-US" w:eastAsia="zh-CN"/>
        </w:rPr>
        <w:t>采购需求调查公告</w:t>
      </w:r>
    </w:p>
    <w:bookmarkEnd w:id="1"/>
    <w:p w14:paraId="42A6DD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一、项目概况</w:t>
      </w:r>
    </w:p>
    <w:p w14:paraId="56179C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本次采购标的为云南农业职业技术学院AI智算基座平台软硬件及配套服务，核心功能是搭建一套适配高原特色现代农业发展、贴合农业职业教育特色，集教学实训、科研创新、农技服务、校园治理于一体的私有化AI智算平台。具体目标如下：</w:t>
      </w:r>
    </w:p>
    <w:p w14:paraId="1E5789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1.补齐学校算力资源短缺短板，提供高效、稳定的AI智算支撑，满足农业AI模型训练、大数据分析、虚拟仿真实训、AI育种、智能养殖仿真等教学科研需求，破解科研团队“有想法无算力”的困境。</w:t>
      </w:r>
    </w:p>
    <w:p w14:paraId="47DAEA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.推动AI技术与学校农业类专业深度融合，为师生提供AI实训、模型训练、虚拟仿真等资源，提升学生AI应用实操能力，培养适应智慧农业发展需求的复合型技术技能人才，助力学校“双高”建设和“五金”建设落地。</w:t>
      </w:r>
    </w:p>
    <w:p w14:paraId="2433CB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3.强化学校科研创新能力，支撑农业科研团队开展前沿研究，缩短科研周期、提升科研成果转化率，尤其助力学校在油菜育种、智能养殖等优势领域实现技术突破，彰显学校科技创新担当。</w:t>
      </w:r>
    </w:p>
    <w:p w14:paraId="2F4F3D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4.搭建全自主可控、标准化、可扩展的统一身份认证系统，配合现有腾讯微校认证体系，实现多终端无缝接入和全校业务系统统一集成，提升校园治理效能，消除“信息孤岛”现象。</w:t>
      </w:r>
    </w:p>
    <w:p w14:paraId="3DDA31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5.为区域农业企业、农户提供AI技术咨询、模型定制、技能培训等服务，助力云南高原特色农业数字化转型，践行学校“以农为本，服务三农”的办学定位，助力乡村振兴战略实施。</w:t>
      </w:r>
    </w:p>
    <w:p w14:paraId="40F094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打造“AI+农业+职业教育”的特色示范标杆，提升学校在职业教育领域的影响力和核心竞争力，为学校争创农业职业技术大学奠定坚实基础。</w:t>
      </w:r>
    </w:p>
    <w:p w14:paraId="4E03E3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</w:rPr>
        <w:t>为保障本项目顺利进行，充分了解相关产业发展、市场供给、价格等情况，掌握可能涉及的运行维护、升级更新、备品备件、耗材等后续采购情况，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现面向市场开展采购需求调查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</w:rPr>
        <w:t>，云南冠睿咨询有限公司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受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云南农业职业技术学院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</w:rPr>
        <w:t>委托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现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</w:rPr>
        <w:t>面向市场开展采购需求调查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。</w:t>
      </w:r>
    </w:p>
    <w:p w14:paraId="6EE3CC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二、项目清单</w:t>
      </w:r>
    </w:p>
    <w:p w14:paraId="086E4F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本项目拟通过采购AI智算基础平台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3台、AI智算管理平台1套、统一身份认证系统1套、系统集成服务1项，具体采购清单详见“附件1：产品技术要求”。</w:t>
      </w:r>
    </w:p>
    <w:p w14:paraId="18496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三、需求调查内容（包括但不限于）</w:t>
      </w:r>
    </w:p>
    <w:p w14:paraId="1670E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技术需求方案</w:t>
      </w:r>
    </w:p>
    <w:p w14:paraId="58648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1.相关产业发展、市场供给情况</w:t>
      </w:r>
    </w:p>
    <w:p w14:paraId="6FFB8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2.技术指标、性能及配置</w:t>
      </w:r>
    </w:p>
    <w:p w14:paraId="416C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供应商可参考“附件1：产品技术要求”中的内容对拟采购产品提供技术方案，可针对现有技术参数及要求提出补充或修改意见（详见“附件2：产品技术参数意见表”）。“附件1：产品技术要求”中技术参数、性能要求如出现引用某一特定的专利技术、商标、名称、设计、原产地或供应者等情况，则仅起参考作用，供应商可选用实质上“相当于”或“优于”该参考技术要求的产品；</w:t>
      </w:r>
    </w:p>
    <w:p w14:paraId="68E8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3.质量标准、质量保证</w:t>
      </w:r>
    </w:p>
    <w:p w14:paraId="2977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4.可能涉及的运行维护、升级更新、备品备件、耗材等情况</w:t>
      </w:r>
    </w:p>
    <w:p w14:paraId="6D6C0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5.其他认为需要提供的资料</w:t>
      </w:r>
    </w:p>
    <w:p w14:paraId="0FB41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商务需求方案</w:t>
      </w:r>
    </w:p>
    <w:p w14:paraId="76408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1.价格组成情况（包括但不限于：产品品牌、产品生产厂家、产品型号规格，详见“附件3：价格组成情况表”）</w:t>
      </w:r>
    </w:p>
    <w:p w14:paraId="069A6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2.交付（实施）的时间（期限）</w:t>
      </w:r>
    </w:p>
    <w:p w14:paraId="61377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3.安装、调试及集成</w:t>
      </w:r>
    </w:p>
    <w:p w14:paraId="69B41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4.售后服务或维护</w:t>
      </w:r>
    </w:p>
    <w:p w14:paraId="1F5D6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5.质保服务方案（含质保期）</w:t>
      </w:r>
    </w:p>
    <w:p w14:paraId="78EDB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6.验收标准</w:t>
      </w:r>
    </w:p>
    <w:p w14:paraId="4094A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7.其他认为需要提供的资料</w:t>
      </w:r>
    </w:p>
    <w:p w14:paraId="26E93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其他</w:t>
      </w:r>
    </w:p>
    <w:p w14:paraId="46051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可提供供应商简介、类似项目使用情况等相关资料。</w:t>
      </w:r>
    </w:p>
    <w:p w14:paraId="2E63C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、方案提交时间：</w:t>
      </w:r>
    </w:p>
    <w:p w14:paraId="5AD4E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日至202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日。</w:t>
      </w:r>
    </w:p>
    <w:p w14:paraId="22DDC4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、提交方式、时间及地点：</w:t>
      </w:r>
    </w:p>
    <w:p w14:paraId="428AE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1.提交方式</w:t>
      </w:r>
    </w:p>
    <w:p w14:paraId="1F81D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可根据自身情况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选择以下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任意一种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提交方式：</w:t>
      </w:r>
    </w:p>
    <w:p w14:paraId="7EE24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①纸质方案提交的：提交纸质方案2份，电子版1份（Word版本）；</w:t>
      </w:r>
    </w:p>
    <w:p w14:paraId="64C3F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②电子方案提交的：将加盖公章的电子版1份，Word版1份发送至yngrzx02@126.com邮箱。</w:t>
      </w:r>
    </w:p>
    <w:p w14:paraId="42706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2.提交方案截止时间：202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17时30分（北京时间）；</w:t>
      </w:r>
    </w:p>
    <w:p w14:paraId="319C5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3.提交方案地点：云南冠睿咨询有限公司（云南省昆明市西山区万达广场南塔32层3201号）或yngrzx02@126.com邮箱。</w:t>
      </w:r>
    </w:p>
    <w:p w14:paraId="0E379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五、相关声明：</w:t>
      </w:r>
    </w:p>
    <w:p w14:paraId="2E75F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1.本次提交采购需求调查由各单位自愿参与，无论各单位所提供的需求方案是否被采纳，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云南农业职业技术学院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及云南冠睿咨询有限公司均不给予任何形式的费用补偿或奖励。</w:t>
      </w:r>
    </w:p>
    <w:p w14:paraId="5844B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2.本次采购需求调查公告最终解释权归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云南农业职业技术学院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及云南冠睿咨询有限公司。</w:t>
      </w:r>
    </w:p>
    <w:p w14:paraId="525633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六、联系方式：</w:t>
      </w:r>
    </w:p>
    <w:p w14:paraId="5F4EE9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联系人：汪怡含、邓楚卿、吕艺帆、王国玺、吴翊、田林轩、高良凯、赵志超、祝欣、陈沿锦、蒋兴杰、李腾芳、王彦飞、刘晓云、张振荣、丁传觐、肖枝莲、杨益鑫、戚玮薇</w:t>
      </w:r>
    </w:p>
    <w:p w14:paraId="3CD572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电话：0871-65511240、65511241</w:t>
      </w:r>
    </w:p>
    <w:p w14:paraId="43E87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br w:type="page"/>
      </w:r>
    </w:p>
    <w:p w14:paraId="5713E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附件1：产品技术要求</w:t>
      </w:r>
    </w:p>
    <w:p w14:paraId="1563B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1.采购需求一览表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00"/>
        <w:gridCol w:w="5698"/>
        <w:gridCol w:w="709"/>
        <w:gridCol w:w="657"/>
      </w:tblGrid>
      <w:tr w14:paraId="5ABCC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95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B6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27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性能参数需求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00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C3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单位</w:t>
            </w:r>
          </w:p>
        </w:tc>
      </w:tr>
      <w:tr w14:paraId="2DEFB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1865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AA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AI智算基础平台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48F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1、设备类型：机架式设备，配置机架滑道，单台高度≤4U；</w:t>
            </w:r>
          </w:p>
          <w:p w14:paraId="6EABF9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2、使用场景：可适配AI智算管理平台，支持学校全体学生并行异地登录，并同时在线使用；</w:t>
            </w:r>
          </w:p>
          <w:p w14:paraId="569F6A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3、处理器：≥2颗主流x86或国产高性能处理器，单颗</w:t>
            </w: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≥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32核64线程；</w:t>
            </w:r>
          </w:p>
          <w:p w14:paraId="3CB987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4、加速卡：≥8张同规格高性能GPU，单卡FP32浮点性能≥80 TFLOPS或TF32等效算力≥82TFLOPS，单卡显存≥24GB，显存带宽≥750GB/s，支持GDDR6及以上类型;单卡计算核心数≥16000个(或等效计算单元)，支持主流人工智能框架(TensorFlow、PyTorch等)，提供完整的开发工具链，支持CUDA算子迁移或兼容，单台显存≥192GB；</w:t>
            </w:r>
          </w:p>
          <w:p w14:paraId="3498F8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5、内存：内存插槽数≥32个，最高速率支持RDIMM或LRDIMM，单台内存容量≥256GB DDR5；</w:t>
            </w:r>
          </w:p>
          <w:p w14:paraId="6B7048B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6、存储：系统盘≥2*480GB SSD硬盘，数据盘≥2*3.84TB SSD硬盘；</w:t>
            </w:r>
          </w:p>
          <w:p w14:paraId="4DA246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7、网卡：支持选配1/10/25/50/100/200/400GE PCIe标准网卡，配置≥2个万兆网口；</w:t>
            </w:r>
          </w:p>
          <w:p w14:paraId="6589F5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8、访问方式：支持包括SSH远程连接和JupyterLab等多种访问方式；</w:t>
            </w:r>
          </w:p>
          <w:p w14:paraId="789C4C6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9、电源：配置≥4个2000W热插拔冗余电源，支持N+N冗余；</w:t>
            </w:r>
          </w:p>
          <w:p w14:paraId="1F2BCC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10、风扇：配置≥4个热插拔冗余风扇，支持N+1冗余；</w:t>
            </w:r>
          </w:p>
          <w:p w14:paraId="6E52516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11、管理端口：配置≥1*1Gb独立的远程管理控制端口；</w:t>
            </w:r>
          </w:p>
          <w:p w14:paraId="6709A7A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12、安全管理：集成系统管理芯片，支持IPMI2.0、KVM over IP等管理功能；</w:t>
            </w:r>
          </w:p>
          <w:p w14:paraId="78714CD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13、系统软件：预装操作系统Ubuntu以及cuda、TensorFlow、pytorch等常用的人工智能软件和驱动。</w:t>
            </w:r>
          </w:p>
          <w:p w14:paraId="2D9EB8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14、售后服务：≥3年原厂质保，7×24小时技术响应，2小时上门服务。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643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85B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</w:tr>
      <w:tr w14:paraId="54A61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B75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98F2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AI智算管理平台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642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1、平台能够纳管本地私有化基础平台集群，统一运营运维，能够提升算力资源利用率，稳固多模态大模型协同与训练性能；</w:t>
            </w:r>
          </w:p>
          <w:p w14:paraId="76D23F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2、支持现有工作站节点接入及后续横向拓展，在核心功能上，可实现GPU、CPU集群的统一调度与容器全生命周期管理，单GPU多任务共享等技术最大化资源利用率；</w:t>
            </w:r>
          </w:p>
          <w:p w14:paraId="7ADD0B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3、能够构建多级分级分域用户管理体系，支持用户批量管理与邀请注册；同时具备精细化计费管理能力，涵盖预计费、配额管理、自定义费率等功能。</w:t>
            </w:r>
          </w:p>
          <w:p w14:paraId="0D138EE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4、平台还需拥有丰富的可视化统计与监控功能，可实时展示主机、GPU资源状态，支持多时段资源占用、实例运行、用户活跃等数据统计分析；</w:t>
            </w:r>
          </w:p>
          <w:p w14:paraId="425F14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5、提供JupyterLab等多种开发工具，集成主流科学计算框架与多版本CUDA环境，支持SSH、远程IDE等多种开发访问方式；</w:t>
            </w:r>
          </w:p>
          <w:p w14:paraId="54B1D6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6、支持弹性部署与批量调度，能根据负载自动调整资源，保障系统稳定高效运行。</w:t>
            </w:r>
          </w:p>
          <w:p w14:paraId="4590443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7、平台软件应具备永久使用授权，一年期免费版本升级。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558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12F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套</w:t>
            </w:r>
          </w:p>
        </w:tc>
      </w:tr>
      <w:tr w14:paraId="4C130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2764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FA56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统一身份认证系统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62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1、在学校现有统一身份认证平台基础上，扩展移动端统一认证能力，实现 APP、H5、移动门户等应用的统一接入、统一认证和统一管理；</w:t>
            </w:r>
          </w:p>
          <w:p w14:paraId="7DE322F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2、充分复用学校现有统一身份认证平台及已集成的腾讯微校相关能力，避免重复建设，保障与现有用户体系、认证体系、管理体系保持一致；</w:t>
            </w:r>
          </w:p>
          <w:p w14:paraId="0DC1A8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3、覆盖 APP、H5、移动浏览器、校园移动门户等移动端应用场景，并为后续新增移动应用预留统一接入；</w:t>
            </w:r>
          </w:p>
          <w:p w14:paraId="59722A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4、确保移动端身份标识与学校师生账号、学号、工号等校内身份信息准确对应，避免重复绑定、冒用绑定、身份错绑等问题；</w:t>
            </w:r>
          </w:p>
          <w:p w14:paraId="0BD56F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5、在满足学校安全管理要求的前提下，优化师生首次绑定、日常登录、认证失败、异常提示等流程，提升移动端使用便利性；</w:t>
            </w:r>
          </w:p>
          <w:p w14:paraId="161ADD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6、保障移动端认证、账号绑定、手机号校验、身份标识处理等环节的数据安全、隐私保护和合规要求；</w:t>
            </w:r>
          </w:p>
          <w:p w14:paraId="1FB112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7、对移动端登录、账号绑定、解绑、认证失败、异常访问等关键行为进行记录、审计和追溯，满足学校安全管理和监管要求；</w:t>
            </w:r>
          </w:p>
          <w:p w14:paraId="67171B4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8、学校提供开放腾讯微校接口，系统能与学校现有统一身份认证平台接口、后端业务接口进行无缝对接，完成认证结果处理及用户信息交互。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DC1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A84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套</w:t>
            </w:r>
          </w:p>
        </w:tc>
      </w:tr>
      <w:tr w14:paraId="1C345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6C1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FC9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系统集成服务</w:t>
            </w:r>
          </w:p>
        </w:tc>
        <w:tc>
          <w:tcPr>
            <w:tcW w:w="5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6ED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1、现场环境勘查：对机房承重、供电（双路市电 / UPS）、制冷、网络等进行全面检测。</w:t>
            </w:r>
          </w:p>
          <w:p w14:paraId="35638A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2、系统架构设计：根据学校需求和现有环境，制定软硬件部署方案和网络拓扑规划。</w:t>
            </w:r>
          </w:p>
          <w:p w14:paraId="46C986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3、硬件部署实施：负责基础管理平台、网络设备上架、布线连接和硬件调试。</w:t>
            </w:r>
          </w:p>
          <w:p w14:paraId="3C35B6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4、软件平台部署：安装配置 AI 智算管理平台、认证系统、镜像服务等软件，实现系统集成。</w:t>
            </w:r>
          </w:p>
          <w:p w14:paraId="73B91F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5、系统联调测试：进行软硬件协同调试，验证系统功能、性能和稳定性，解决集成问题。</w:t>
            </w:r>
          </w:p>
          <w:p w14:paraId="1FFE83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6、技术培训与文档交付：提供管理员培训，交付实施文档、操作手册、运维手册等资料。</w:t>
            </w:r>
          </w:p>
          <w:p w14:paraId="0207D1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7、提供全方位的售后服务，确保平台系统软硬件稳定运行。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FC6D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C814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</w:tr>
    </w:tbl>
    <w:p w14:paraId="24E4A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2.其他技术要求</w:t>
      </w:r>
    </w:p>
    <w:p w14:paraId="0021C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（1）兼容性要求：所有硬件设备、软件系统需相互兼容，同时兼容学校现有信息化系统（如教学管理系统、科研管理平台、OA系统等），能够实现数据互通、协同工作；支持CPU、GPU统一调度，支持多种操作系统。</w:t>
      </w:r>
    </w:p>
    <w:p w14:paraId="18A4F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2）扩展性要求：系统采用模块化、可扩展的架构设计，支持后续算力节点横向扩展；支持多计算中心接入，实现统一管理调度；软件系统支持功能扩展，能够适配学校“十五五”发展规划及未来教学科研需求。</w:t>
      </w:r>
    </w:p>
    <w:p w14:paraId="73EB1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（3）数据迁移要求：供应商需负责将学校现有相关系统中的数据迁移至新搭建的AI智算平台及统一身份认证系统，确保数据迁移过程中无丢失、无损坏，数据格式兼容，迁移完成后进行数据验证。</w:t>
      </w:r>
    </w:p>
    <w:p w14:paraId="31168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4）技术保密要求：供应商需对项目相关技术资料、学校数据信息（如学生信息、科研数据、业务数据等）严格保密，不得泄露、传播给第三方；项目结束后，需删除所有相关数据及技术资料，签订保密协议，保密期限符合学校相关要求。</w:t>
      </w:r>
    </w:p>
    <w:p w14:paraId="2C098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3.安全要求</w:t>
      </w:r>
    </w:p>
    <w:p w14:paraId="6827A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（1）硬件安全：智算基础平台等具备防短路、防过载、防雷击等安全保护功能，符合国家电气安全标准；存储设备具备数据加密、数据备份、故障恢复等功能，确保数据安全。</w:t>
      </w:r>
    </w:p>
    <w:p w14:paraId="0C520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（2）软件安全：软件系统需具备完善的安全防护机制，支持用户身份认证、权限管理、数据加密（HTTPS/TLS加密传输）、日志审计等功能，能够有效防范病毒、黑客攻击、数据泄露等安全风险；密码采用加密算法存储，Token机制支持自动续期与撤销。</w:t>
      </w:r>
    </w:p>
    <w:p w14:paraId="7F6CD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（3）数据安全：平台需实现个人数据独立权限存放，确保用户数据隐私安全，支持数据备份、恢复功能，定期自动备份数据，备份数据可快速恢复，无数据丢失风险；符合国家数据安全相关法律法规要求。</w:t>
      </w:r>
    </w:p>
    <w:p w14:paraId="1FA42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（4）合规安全：产品需符合3C、节能、环保等认证要求，具备相关认证证书；支持安全启动，符合国家安全要求；统一身份认证系统需具备完善的认证行为日志记录机制，支持图形化审计分析，认证行为可追溯。</w:t>
      </w:r>
    </w:p>
    <w:p w14:paraId="64AE9B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（5）运维安全：提供完善的安全运维方案，定期进行安全巡检、漏洞修复、病毒查杀等工作，及时应对安全隐患，保障系统长期安全稳定运行。</w:t>
      </w:r>
    </w:p>
    <w:p w14:paraId="5C4C4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br w:type="page"/>
      </w:r>
    </w:p>
    <w:p w14:paraId="607FB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附件2：产品技术参数意见表</w:t>
      </w:r>
    </w:p>
    <w:tbl>
      <w:tblPr>
        <w:tblStyle w:val="4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00"/>
        <w:gridCol w:w="7012"/>
      </w:tblGrid>
      <w:tr w14:paraId="1DE5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14:paraId="589533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23BBC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012" w:type="dxa"/>
            <w:shd w:val="clear" w:color="auto" w:fill="auto"/>
            <w:noWrap/>
            <w:vAlign w:val="center"/>
          </w:tcPr>
          <w:p w14:paraId="34468F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技术参数及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性能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</w:tr>
      <w:tr w14:paraId="5DF7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1" w:type="dxa"/>
            <w:shd w:val="clear" w:color="auto" w:fill="auto"/>
            <w:noWrap/>
            <w:vAlign w:val="center"/>
          </w:tcPr>
          <w:p w14:paraId="2FB044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611F31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AI智算基础平台</w:t>
            </w:r>
          </w:p>
        </w:tc>
        <w:tc>
          <w:tcPr>
            <w:tcW w:w="7012" w:type="dxa"/>
            <w:shd w:val="clear" w:color="auto" w:fill="auto"/>
            <w:noWrap/>
            <w:vAlign w:val="center"/>
          </w:tcPr>
          <w:p w14:paraId="5F15D8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773A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85D8F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CF30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AI智算管理平台</w:t>
            </w:r>
          </w:p>
        </w:tc>
        <w:tc>
          <w:tcPr>
            <w:tcW w:w="7012" w:type="dxa"/>
          </w:tcPr>
          <w:p w14:paraId="7756A2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1D35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BC0636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488E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统一身份认证系统</w:t>
            </w:r>
          </w:p>
        </w:tc>
        <w:tc>
          <w:tcPr>
            <w:tcW w:w="7012" w:type="dxa"/>
          </w:tcPr>
          <w:p w14:paraId="13EE49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5E14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6C03D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2175B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系统集成服务</w:t>
            </w:r>
          </w:p>
        </w:tc>
        <w:tc>
          <w:tcPr>
            <w:tcW w:w="7012" w:type="dxa"/>
          </w:tcPr>
          <w:p w14:paraId="43CE32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7B4A7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供应商名称（加盖公章）：</w:t>
      </w:r>
    </w:p>
    <w:p w14:paraId="3E828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联系人：</w:t>
      </w:r>
    </w:p>
    <w:p w14:paraId="795DB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联系电话：</w:t>
      </w:r>
    </w:p>
    <w:p w14:paraId="006EF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日期：</w:t>
      </w:r>
    </w:p>
    <w:p w14:paraId="5E96D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br w:type="page"/>
      </w:r>
    </w:p>
    <w:p w14:paraId="2D72D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附件3：价格组成情况表</w:t>
      </w:r>
    </w:p>
    <w:tbl>
      <w:tblPr>
        <w:tblStyle w:val="4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75"/>
        <w:gridCol w:w="1100"/>
        <w:gridCol w:w="2062"/>
        <w:gridCol w:w="1663"/>
        <w:gridCol w:w="1187"/>
        <w:gridCol w:w="713"/>
        <w:gridCol w:w="728"/>
      </w:tblGrid>
      <w:tr w14:paraId="7BAE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 w14:paraId="4C4FCF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14:paraId="636CC7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EB8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193C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产品生产厂家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6F03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产品型号规格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314E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产品单价（元）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14:paraId="00A2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6A34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</w:tr>
      <w:tr w14:paraId="78FD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08" w:type="dxa"/>
            <w:shd w:val="clear" w:color="auto" w:fill="auto"/>
            <w:noWrap/>
            <w:vAlign w:val="center"/>
          </w:tcPr>
          <w:p w14:paraId="523E468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14:paraId="4E92D9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AI智算基础平台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918C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6256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2529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0DF0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shd w:val="clear" w:color="auto" w:fill="auto"/>
            <w:noWrap/>
            <w:vAlign w:val="center"/>
          </w:tcPr>
          <w:p w14:paraId="2CFA5C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14:paraId="4DD00EF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台</w:t>
            </w:r>
          </w:p>
        </w:tc>
      </w:tr>
      <w:tr w14:paraId="6D08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08" w:type="dxa"/>
            <w:shd w:val="clear" w:color="auto" w:fill="FFFFFF"/>
            <w:noWrap/>
            <w:vAlign w:val="center"/>
          </w:tcPr>
          <w:p w14:paraId="2356CD6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75" w:type="dxa"/>
            <w:shd w:val="clear" w:color="auto" w:fill="FFFFFF"/>
            <w:noWrap/>
            <w:vAlign w:val="center"/>
          </w:tcPr>
          <w:p w14:paraId="58EE61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AI智算管理平台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6BD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76EA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0C47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69E0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shd w:val="clear" w:color="auto" w:fill="FFFFFF"/>
            <w:noWrap/>
            <w:vAlign w:val="center"/>
          </w:tcPr>
          <w:p w14:paraId="140F83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8" w:type="dxa"/>
            <w:shd w:val="clear" w:color="auto" w:fill="FFFFFF"/>
            <w:noWrap/>
            <w:vAlign w:val="center"/>
          </w:tcPr>
          <w:p w14:paraId="32EEB9D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套</w:t>
            </w:r>
          </w:p>
        </w:tc>
      </w:tr>
      <w:tr w14:paraId="0041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08" w:type="dxa"/>
            <w:shd w:val="clear" w:color="auto" w:fill="FFFFFF"/>
            <w:noWrap/>
            <w:vAlign w:val="center"/>
          </w:tcPr>
          <w:p w14:paraId="0A87B8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75" w:type="dxa"/>
            <w:shd w:val="clear" w:color="auto" w:fill="FFFFFF"/>
            <w:noWrap/>
            <w:vAlign w:val="center"/>
          </w:tcPr>
          <w:p w14:paraId="2371C2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统一身份认证系统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36D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7582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027F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632B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shd w:val="clear" w:color="auto" w:fill="FFFFFF"/>
            <w:noWrap/>
            <w:vAlign w:val="center"/>
          </w:tcPr>
          <w:p w14:paraId="44FFBA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8" w:type="dxa"/>
            <w:shd w:val="clear" w:color="auto" w:fill="FFFFFF"/>
            <w:noWrap/>
            <w:vAlign w:val="center"/>
          </w:tcPr>
          <w:p w14:paraId="34B090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套</w:t>
            </w:r>
          </w:p>
        </w:tc>
      </w:tr>
      <w:tr w14:paraId="097D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08" w:type="dxa"/>
            <w:shd w:val="clear" w:color="auto" w:fill="FFFFFF"/>
            <w:noWrap/>
            <w:vAlign w:val="center"/>
          </w:tcPr>
          <w:p w14:paraId="43AB85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175" w:type="dxa"/>
            <w:shd w:val="clear" w:color="auto" w:fill="FFFFFF"/>
            <w:noWrap/>
            <w:vAlign w:val="center"/>
          </w:tcPr>
          <w:p w14:paraId="396BAB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系统集成服务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BBC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7B7B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4B01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14:paraId="3C9C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shd w:val="clear" w:color="auto" w:fill="FFFFFF"/>
            <w:noWrap/>
            <w:vAlign w:val="center"/>
          </w:tcPr>
          <w:p w14:paraId="1B259F5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28" w:type="dxa"/>
            <w:shd w:val="clear" w:color="auto" w:fill="FFFFFF"/>
            <w:noWrap/>
            <w:vAlign w:val="center"/>
          </w:tcPr>
          <w:p w14:paraId="0CB08B9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</w:tr>
    </w:tbl>
    <w:p w14:paraId="109A29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供应商名称（加盖公章）：</w:t>
      </w:r>
    </w:p>
    <w:p w14:paraId="5DFC6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联系人：</w:t>
      </w:r>
    </w:p>
    <w:p w14:paraId="0DF47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联系电话：</w:t>
      </w:r>
    </w:p>
    <w:p w14:paraId="0944F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MjUxN2VmZmE4ZTUzYjdhN2FhNDdjODJiY2Y4Y2IifQ=="/>
  </w:docVars>
  <w:rsids>
    <w:rsidRoot w:val="570538FC"/>
    <w:rsid w:val="03BB6A46"/>
    <w:rsid w:val="0434242C"/>
    <w:rsid w:val="084A5581"/>
    <w:rsid w:val="0878488F"/>
    <w:rsid w:val="09DB4DB7"/>
    <w:rsid w:val="0A59408D"/>
    <w:rsid w:val="0CA23D12"/>
    <w:rsid w:val="106D7D80"/>
    <w:rsid w:val="10E6217D"/>
    <w:rsid w:val="14F7697C"/>
    <w:rsid w:val="15683602"/>
    <w:rsid w:val="17367716"/>
    <w:rsid w:val="17DA07ED"/>
    <w:rsid w:val="1C117802"/>
    <w:rsid w:val="1C7B464A"/>
    <w:rsid w:val="20B13957"/>
    <w:rsid w:val="25B85F8B"/>
    <w:rsid w:val="26033399"/>
    <w:rsid w:val="27F11ED9"/>
    <w:rsid w:val="2983318B"/>
    <w:rsid w:val="3C043B1F"/>
    <w:rsid w:val="3C3D5E0C"/>
    <w:rsid w:val="3F073961"/>
    <w:rsid w:val="45BC2474"/>
    <w:rsid w:val="47157EC6"/>
    <w:rsid w:val="48673A7B"/>
    <w:rsid w:val="4A0B53B8"/>
    <w:rsid w:val="4A71607B"/>
    <w:rsid w:val="4A787742"/>
    <w:rsid w:val="4BF55088"/>
    <w:rsid w:val="4F490E3F"/>
    <w:rsid w:val="4F592A12"/>
    <w:rsid w:val="515D6E65"/>
    <w:rsid w:val="51D75A7D"/>
    <w:rsid w:val="53AE5D41"/>
    <w:rsid w:val="551F210B"/>
    <w:rsid w:val="560704B0"/>
    <w:rsid w:val="570538FC"/>
    <w:rsid w:val="5C20088E"/>
    <w:rsid w:val="5CC66005"/>
    <w:rsid w:val="605A76EC"/>
    <w:rsid w:val="675D123C"/>
    <w:rsid w:val="67EA73FF"/>
    <w:rsid w:val="73510683"/>
    <w:rsid w:val="7640432C"/>
    <w:rsid w:val="77E3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="Times New Roman"/>
      <w:b/>
      <w:bCs/>
      <w:kern w:val="44"/>
      <w:sz w:val="30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81"/>
    <w:basedOn w:val="6"/>
    <w:autoRedefine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12">
    <w:name w:val="font91"/>
    <w:basedOn w:val="6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3">
    <w:name w:val="font101"/>
    <w:basedOn w:val="6"/>
    <w:autoRedefine/>
    <w:qFormat/>
    <w:uiPriority w:val="0"/>
    <w:rPr>
      <w:rFonts w:hint="default" w:ascii="Wingdings 2" w:hAnsi="Wingdings 2" w:eastAsia="Wingdings 2" w:cs="Wingdings 2"/>
      <w:color w:val="000000"/>
      <w:sz w:val="12"/>
      <w:szCs w:val="12"/>
      <w:u w:val="none"/>
    </w:rPr>
  </w:style>
  <w:style w:type="character" w:customStyle="1" w:styleId="14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16">
    <w:name w:val="font71"/>
    <w:basedOn w:val="6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4316</Words>
  <Characters>4680</Characters>
  <Lines>0</Lines>
  <Paragraphs>0</Paragraphs>
  <TotalTime>2</TotalTime>
  <ScaleCrop>false</ScaleCrop>
  <LinksUpToDate>false</LinksUpToDate>
  <CharactersWithSpaces>4693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2024-03-25T06:00:00Z</dcterms:created>
  <dc:creator>gr</dc:creator>
  <cp:lastModifiedBy>黄梦雅</cp:lastModifiedBy>
  <dcterms:modified xsi:type="dcterms:W3CDTF">2026-05-20T09:13:53Z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67F12E29876C4B8A825EE8B13A730ECA_13</vt:lpwstr>
  </property>
  <property fmtid="{D5CDD505-2E9C-101B-9397-08002B2CF9AE}" pid="4" name="KSOTemplateDocerSaveRecord">
    <vt:lpwstr>eyJoZGlkIjoiNDAyYmI3NzQ2MmZiNTU5YmNkYjdlNzlmM2U3MTNkZjQiLCJ1c2VySWQiOiIzMDQ5NzE0MTkifQ==</vt:lpwstr>
  </property>
</Properties>
</file>